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4D" w:rsidRDefault="00783A27">
      <w:pPr>
        <w:rPr>
          <w:sz w:val="28"/>
          <w:szCs w:val="28"/>
        </w:rPr>
      </w:pPr>
      <w:r>
        <w:rPr>
          <w:sz w:val="28"/>
          <w:szCs w:val="28"/>
        </w:rPr>
        <w:t>Otázky závěrečného testu duben 2017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1,Průběh protetické, Camperovy linie obličejem člověka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2,Důvod používání distančního laku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3,Postup polymerace hmoty Superacryl plus varem a její hlavní nebezpečí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4,Postup nepřímé rebaze HCN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5,Postup rekonstrukce Mč vztahu skusovými šablonami u bezzubých úst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6,Thompsonův řez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7,Způsob výroby gingivální masky</w:t>
      </w:r>
    </w:p>
    <w:p w:rsid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8,Co je to Životní cyklus snímatelné náhrady s dentomukozním přenosem žvýkacího tlaku</w:t>
      </w:r>
    </w:p>
    <w:p w:rsidR="00783A27" w:rsidRDefault="00783A27">
      <w:pPr>
        <w:rPr>
          <w:sz w:val="28"/>
          <w:szCs w:val="28"/>
        </w:rPr>
      </w:pPr>
    </w:p>
    <w:p w:rsidR="00783A27" w:rsidRPr="00783A27" w:rsidRDefault="00783A27">
      <w:pPr>
        <w:rPr>
          <w:sz w:val="28"/>
          <w:szCs w:val="28"/>
        </w:rPr>
      </w:pPr>
      <w:r>
        <w:rPr>
          <w:sz w:val="28"/>
          <w:szCs w:val="28"/>
        </w:rPr>
        <w:t>9. Řešení nakreslené situace protetického defektu chrupu- různé způsoby řešení</w:t>
      </w:r>
      <w:bookmarkStart w:id="0" w:name="_GoBack"/>
      <w:bookmarkEnd w:id="0"/>
    </w:p>
    <w:sectPr w:rsidR="00783A27" w:rsidRPr="0078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27"/>
    <w:rsid w:val="00783A27"/>
    <w:rsid w:val="00D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2017-04-10T20:33:00Z</cp:lastPrinted>
  <dcterms:created xsi:type="dcterms:W3CDTF">2017-04-10T20:25:00Z</dcterms:created>
  <dcterms:modified xsi:type="dcterms:W3CDTF">2017-04-10T20:34:00Z</dcterms:modified>
</cp:coreProperties>
</file>